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23" w:rsidRDefault="004B1881" w:rsidP="001442E0">
      <w:pPr>
        <w:pStyle w:val="Default"/>
        <w:jc w:val="center"/>
        <w:rPr>
          <w:rFonts w:asciiTheme="minorHAnsi" w:hAnsiTheme="minorHAnsi"/>
          <w:b/>
          <w:bCs/>
          <w:color w:val="auto"/>
          <w:sz w:val="23"/>
          <w:szCs w:val="23"/>
          <w:u w:val="single"/>
        </w:rPr>
      </w:pPr>
      <w:r>
        <w:rPr>
          <w:rFonts w:asciiTheme="minorHAnsi" w:hAnsiTheme="minorHAnsi"/>
          <w:b/>
          <w:bCs/>
          <w:color w:val="auto"/>
          <w:sz w:val="23"/>
          <w:szCs w:val="23"/>
          <w:u w:val="single"/>
        </w:rPr>
        <w:t>World Café</w:t>
      </w:r>
    </w:p>
    <w:p w:rsidR="004B1881" w:rsidRDefault="004B1881" w:rsidP="001442E0">
      <w:pPr>
        <w:pStyle w:val="Default"/>
        <w:jc w:val="center"/>
        <w:rPr>
          <w:rFonts w:asciiTheme="minorHAnsi" w:hAnsiTheme="minorHAnsi"/>
          <w:b/>
          <w:bCs/>
          <w:color w:val="auto"/>
          <w:sz w:val="23"/>
          <w:szCs w:val="23"/>
          <w:u w:val="single"/>
        </w:rPr>
      </w:pPr>
      <w:r>
        <w:rPr>
          <w:rFonts w:asciiTheme="minorHAnsi" w:hAnsiTheme="minorHAnsi"/>
          <w:b/>
          <w:bCs/>
          <w:color w:val="auto"/>
          <w:sz w:val="23"/>
          <w:szCs w:val="23"/>
          <w:u w:val="single"/>
        </w:rPr>
        <w:t>Provisions &amp; Regulations Highlights</w:t>
      </w:r>
    </w:p>
    <w:p w:rsidR="004B1881" w:rsidRDefault="004B1881" w:rsidP="001442E0">
      <w:pPr>
        <w:pStyle w:val="Default"/>
        <w:jc w:val="center"/>
        <w:rPr>
          <w:rFonts w:asciiTheme="minorHAnsi" w:hAnsiTheme="minorHAnsi"/>
          <w:b/>
          <w:bCs/>
          <w:color w:val="auto"/>
          <w:sz w:val="23"/>
          <w:szCs w:val="23"/>
          <w:u w:val="single"/>
        </w:rPr>
      </w:pPr>
    </w:p>
    <w:p w:rsidR="004B1881" w:rsidRDefault="004B1881" w:rsidP="004B1881">
      <w:pPr>
        <w:pStyle w:val="Default"/>
        <w:numPr>
          <w:ilvl w:val="0"/>
          <w:numId w:val="3"/>
        </w:numPr>
        <w:rPr>
          <w:rFonts w:asciiTheme="minorHAnsi" w:hAnsiTheme="minorHAnsi"/>
          <w:bCs/>
          <w:color w:val="auto"/>
          <w:sz w:val="23"/>
          <w:szCs w:val="23"/>
        </w:rPr>
      </w:pPr>
      <w:r>
        <w:rPr>
          <w:rFonts w:asciiTheme="minorHAnsi" w:hAnsiTheme="minorHAnsi"/>
          <w:bCs/>
          <w:color w:val="auto"/>
          <w:sz w:val="23"/>
          <w:szCs w:val="23"/>
        </w:rPr>
        <w:t>Changes to the 2013 provisions</w:t>
      </w: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numPr>
          <w:ilvl w:val="0"/>
          <w:numId w:val="3"/>
        </w:numPr>
        <w:rPr>
          <w:rFonts w:asciiTheme="minorHAnsi" w:hAnsiTheme="minorHAnsi"/>
          <w:bCs/>
          <w:color w:val="auto"/>
          <w:sz w:val="23"/>
          <w:szCs w:val="23"/>
        </w:rPr>
      </w:pPr>
      <w:r>
        <w:rPr>
          <w:rFonts w:asciiTheme="minorHAnsi" w:hAnsiTheme="minorHAnsi"/>
          <w:bCs/>
          <w:color w:val="auto"/>
          <w:sz w:val="23"/>
          <w:szCs w:val="23"/>
        </w:rPr>
        <w:t>Member Eligibility</w:t>
      </w: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Default"/>
        <w:rPr>
          <w:rFonts w:asciiTheme="minorHAnsi" w:hAnsiTheme="minorHAnsi"/>
          <w:bCs/>
          <w:color w:val="auto"/>
          <w:sz w:val="23"/>
          <w:szCs w:val="23"/>
        </w:rPr>
      </w:pPr>
    </w:p>
    <w:p w:rsidR="004B1881" w:rsidRDefault="004B1881" w:rsidP="004B1881">
      <w:pPr>
        <w:pStyle w:val="ListParagraph"/>
        <w:rPr>
          <w:bCs/>
          <w:sz w:val="23"/>
          <w:szCs w:val="23"/>
        </w:rPr>
      </w:pPr>
    </w:p>
    <w:p w:rsidR="004B1881" w:rsidRPr="004B1881" w:rsidRDefault="004B1881" w:rsidP="004B1881">
      <w:pPr>
        <w:pStyle w:val="Default"/>
        <w:numPr>
          <w:ilvl w:val="0"/>
          <w:numId w:val="3"/>
        </w:numPr>
        <w:rPr>
          <w:rFonts w:asciiTheme="minorHAnsi" w:hAnsiTheme="minorHAnsi"/>
          <w:bCs/>
          <w:color w:val="auto"/>
          <w:sz w:val="23"/>
          <w:szCs w:val="23"/>
        </w:rPr>
      </w:pPr>
      <w:r>
        <w:rPr>
          <w:rFonts w:asciiTheme="minorHAnsi" w:hAnsiTheme="minorHAnsi"/>
          <w:bCs/>
          <w:color w:val="auto"/>
          <w:sz w:val="23"/>
          <w:szCs w:val="23"/>
        </w:rPr>
        <w:t>Background checks</w:t>
      </w: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296B23" w:rsidRDefault="00296B23" w:rsidP="001442E0">
      <w:pPr>
        <w:pStyle w:val="Default"/>
        <w:jc w:val="center"/>
        <w:rPr>
          <w:rFonts w:asciiTheme="minorHAnsi" w:hAnsiTheme="minorHAnsi"/>
          <w:b/>
          <w:bCs/>
          <w:color w:val="auto"/>
          <w:sz w:val="23"/>
          <w:szCs w:val="23"/>
          <w:u w:val="single"/>
        </w:rPr>
      </w:pPr>
    </w:p>
    <w:p w:rsidR="004B1881" w:rsidRDefault="004B1881" w:rsidP="001442E0">
      <w:pPr>
        <w:pStyle w:val="Default"/>
        <w:rPr>
          <w:rFonts w:asciiTheme="minorHAnsi" w:hAnsiTheme="minorHAnsi"/>
          <w:b/>
          <w:bCs/>
          <w:color w:val="auto"/>
          <w:sz w:val="23"/>
          <w:szCs w:val="23"/>
        </w:rPr>
      </w:pPr>
    </w:p>
    <w:p w:rsidR="001442E0" w:rsidRPr="00A11AE6" w:rsidRDefault="001442E0" w:rsidP="001442E0">
      <w:pPr>
        <w:pStyle w:val="Default"/>
        <w:rPr>
          <w:rFonts w:asciiTheme="minorHAnsi" w:hAnsiTheme="minorHAnsi"/>
          <w:color w:val="auto"/>
          <w:sz w:val="23"/>
          <w:szCs w:val="23"/>
        </w:rPr>
      </w:pPr>
      <w:r w:rsidRPr="00A11AE6">
        <w:rPr>
          <w:rFonts w:asciiTheme="minorHAnsi" w:hAnsiTheme="minorHAnsi"/>
          <w:b/>
          <w:bCs/>
          <w:color w:val="auto"/>
          <w:sz w:val="23"/>
          <w:szCs w:val="23"/>
        </w:rPr>
        <w:lastRenderedPageBreak/>
        <w:t xml:space="preserve">I. CHANGES FROM THE 2013 AMERICORPS GRANT PROVISIONS </w:t>
      </w:r>
    </w:p>
    <w:p w:rsidR="001442E0" w:rsidRPr="00A11AE6" w:rsidRDefault="001442E0" w:rsidP="001442E0">
      <w:pPr>
        <w:pStyle w:val="Default"/>
        <w:rPr>
          <w:rFonts w:asciiTheme="minorHAnsi" w:hAnsiTheme="minorHAnsi"/>
          <w:color w:val="auto"/>
          <w:sz w:val="23"/>
          <w:szCs w:val="23"/>
        </w:rPr>
      </w:pPr>
      <w:r w:rsidRPr="00A11AE6">
        <w:rPr>
          <w:rFonts w:asciiTheme="minorHAnsi" w:hAnsiTheme="minorHAnsi"/>
          <w:color w:val="auto"/>
          <w:sz w:val="23"/>
          <w:szCs w:val="23"/>
        </w:rPr>
        <w:t xml:space="preserve">For your convenience, we have identified changes from last year’s AmeriCorps State and National grant provisions. The list below is general and informational in nature, not comprehensive. We reiterate the importance of reviewing all grant provisions, because grantees are responsible for knowing, understanding, and complying with all grant provisions.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1. Section IV.A.5.d. – Updated language to match the statute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2. Section IV.C.3. </w:t>
      </w:r>
      <w:proofErr w:type="gramStart"/>
      <w:r w:rsidRPr="00A11AE6">
        <w:rPr>
          <w:rFonts w:asciiTheme="minorHAnsi" w:hAnsiTheme="minorHAnsi"/>
          <w:color w:val="auto"/>
          <w:sz w:val="23"/>
          <w:szCs w:val="23"/>
        </w:rPr>
        <w:t>and</w:t>
      </w:r>
      <w:proofErr w:type="gramEnd"/>
      <w:r w:rsidRPr="00A11AE6">
        <w:rPr>
          <w:rFonts w:asciiTheme="minorHAnsi" w:hAnsiTheme="minorHAnsi"/>
          <w:color w:val="auto"/>
          <w:sz w:val="23"/>
          <w:szCs w:val="23"/>
        </w:rPr>
        <w:t xml:space="preserve"> IV.G.5. – Included the specific citation to find the FAQs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3. Section IV.E.3.d. – Added a sub-section on refilling slots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4. Section IV.E.4. – Added additional information regarding health insurance for members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5. Section IV.G.5. – Added information regarding eligibility for child care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6. Section IV.G.6. – Deleted the requirement to notify CNCS when a member’s status changes that affects healthcare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7. Section IV.J – Updated the progress reporting period covered by the October 30</w:t>
      </w:r>
      <w:r w:rsidRPr="00A11AE6">
        <w:rPr>
          <w:rFonts w:asciiTheme="minorHAnsi" w:hAnsiTheme="minorHAnsi"/>
          <w:color w:val="auto"/>
          <w:sz w:val="16"/>
          <w:szCs w:val="16"/>
        </w:rPr>
        <w:t xml:space="preserve">th </w:t>
      </w:r>
      <w:r w:rsidRPr="00A11AE6">
        <w:rPr>
          <w:rFonts w:asciiTheme="minorHAnsi" w:hAnsiTheme="minorHAnsi"/>
          <w:color w:val="auto"/>
          <w:sz w:val="23"/>
          <w:szCs w:val="23"/>
        </w:rPr>
        <w:t xml:space="preserve">report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8. Section IV.J.4 – Added requests for extensions must be in writing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9. Section V.D. – Added the section on Reporting of Fraud, Waste, and Abuse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10. Section V.E. - Added the section on Whistleblower Protection </w:t>
      </w:r>
    </w:p>
    <w:p w:rsidR="001442E0" w:rsidRPr="00A11AE6" w:rsidRDefault="001442E0" w:rsidP="001442E0">
      <w:pPr>
        <w:pStyle w:val="Default"/>
        <w:spacing w:after="27"/>
        <w:rPr>
          <w:rFonts w:asciiTheme="minorHAnsi" w:hAnsiTheme="minorHAnsi"/>
          <w:color w:val="auto"/>
          <w:sz w:val="23"/>
          <w:szCs w:val="23"/>
        </w:rPr>
      </w:pPr>
      <w:r w:rsidRPr="00A11AE6">
        <w:rPr>
          <w:rFonts w:asciiTheme="minorHAnsi" w:hAnsiTheme="minorHAnsi"/>
          <w:color w:val="auto"/>
          <w:sz w:val="23"/>
          <w:szCs w:val="23"/>
        </w:rPr>
        <w:t xml:space="preserve">11. Section V.M. and N. – Updated the citation for SAM </w:t>
      </w:r>
    </w:p>
    <w:p w:rsidR="001442E0" w:rsidRDefault="001442E0" w:rsidP="001442E0">
      <w:pPr>
        <w:pStyle w:val="Default"/>
        <w:rPr>
          <w:rFonts w:asciiTheme="minorHAnsi" w:hAnsiTheme="minorHAnsi"/>
          <w:color w:val="auto"/>
          <w:sz w:val="23"/>
          <w:szCs w:val="23"/>
        </w:rPr>
      </w:pPr>
      <w:r w:rsidRPr="00A11AE6">
        <w:rPr>
          <w:rFonts w:asciiTheme="minorHAnsi" w:hAnsiTheme="minorHAnsi"/>
          <w:color w:val="auto"/>
          <w:sz w:val="23"/>
          <w:szCs w:val="23"/>
        </w:rPr>
        <w:t xml:space="preserve">12. Replaced the 2013 Civil Rights and Non-Harassment Policy with the 2014 Policy </w:t>
      </w:r>
    </w:p>
    <w:p w:rsidR="004B1881" w:rsidRDefault="004B1881" w:rsidP="001442E0">
      <w:pPr>
        <w:pStyle w:val="Default"/>
        <w:rPr>
          <w:rFonts w:asciiTheme="minorHAnsi" w:hAnsiTheme="minorHAnsi"/>
          <w:color w:val="auto"/>
          <w:sz w:val="23"/>
          <w:szCs w:val="23"/>
        </w:rPr>
      </w:pPr>
    </w:p>
    <w:p w:rsidR="004B1881" w:rsidRPr="00A11AE6" w:rsidRDefault="004B1881" w:rsidP="004B1881">
      <w:pPr>
        <w:rPr>
          <w:rFonts w:cs="Arial"/>
          <w:b/>
          <w:sz w:val="23"/>
          <w:szCs w:val="23"/>
        </w:rPr>
      </w:pPr>
      <w:r w:rsidRPr="00A11AE6">
        <w:rPr>
          <w:rFonts w:cs="Arial"/>
          <w:b/>
          <w:sz w:val="23"/>
          <w:szCs w:val="23"/>
        </w:rPr>
        <w:t>Documentation of citizenship/naturalization/resident alien status</w:t>
      </w:r>
    </w:p>
    <w:p w:rsidR="004B1881" w:rsidRPr="00A11AE6" w:rsidRDefault="004B1881" w:rsidP="004B1881">
      <w:pPr>
        <w:rPr>
          <w:rFonts w:cs="Arial"/>
          <w:i/>
          <w:sz w:val="23"/>
          <w:szCs w:val="23"/>
        </w:rPr>
      </w:pPr>
      <w:proofErr w:type="gramStart"/>
      <w:r w:rsidRPr="00A11AE6">
        <w:rPr>
          <w:rFonts w:cs="Arial"/>
          <w:sz w:val="23"/>
          <w:szCs w:val="23"/>
        </w:rPr>
        <w:t>Primary documentation of status as a US citizen or national.</w:t>
      </w:r>
      <w:proofErr w:type="gramEnd"/>
      <w:r w:rsidRPr="00A11AE6">
        <w:rPr>
          <w:rFonts w:cs="Arial"/>
          <w:sz w:val="23"/>
          <w:szCs w:val="23"/>
        </w:rPr>
        <w:t xml:space="preserve">  </w:t>
      </w:r>
      <w:r w:rsidRPr="00A11AE6">
        <w:rPr>
          <w:rFonts w:cs="Arial"/>
          <w:i/>
          <w:sz w:val="23"/>
          <w:szCs w:val="23"/>
        </w:rPr>
        <w:t>One of the following forms of documentation is acceptable. Check the item on file:</w:t>
      </w:r>
    </w:p>
    <w:p w:rsidR="004B1881" w:rsidRPr="00A11AE6" w:rsidRDefault="004B1881" w:rsidP="004B1881">
      <w:pPr>
        <w:numPr>
          <w:ilvl w:val="0"/>
          <w:numId w:val="2"/>
        </w:numPr>
        <w:tabs>
          <w:tab w:val="clear" w:pos="702"/>
          <w:tab w:val="num" w:pos="342"/>
        </w:tabs>
        <w:spacing w:line="240" w:lineRule="auto"/>
        <w:ind w:left="342"/>
        <w:rPr>
          <w:rFonts w:cs="Arial"/>
          <w:sz w:val="23"/>
          <w:szCs w:val="23"/>
        </w:rPr>
      </w:pPr>
      <w:r w:rsidRPr="00A11AE6">
        <w:rPr>
          <w:rFonts w:cs="Arial"/>
          <w:sz w:val="23"/>
          <w:szCs w:val="23"/>
        </w:rPr>
        <w:t>A birth certificate plus Photo ID showing the individual was born within the 50 states, the District of Columbia, Puerto Rico, Guam, the US Virgin Islands, American Samoa, or the Northern Mariana Islands</w:t>
      </w:r>
    </w:p>
    <w:p w:rsidR="004B1881" w:rsidRPr="00A11AE6" w:rsidRDefault="004B1881" w:rsidP="004B1881">
      <w:pPr>
        <w:numPr>
          <w:ilvl w:val="0"/>
          <w:numId w:val="2"/>
        </w:numPr>
        <w:tabs>
          <w:tab w:val="clear" w:pos="702"/>
          <w:tab w:val="num" w:pos="342"/>
        </w:tabs>
        <w:spacing w:line="240" w:lineRule="auto"/>
        <w:ind w:left="342"/>
        <w:rPr>
          <w:rFonts w:cs="Arial"/>
          <w:sz w:val="23"/>
          <w:szCs w:val="23"/>
        </w:rPr>
      </w:pPr>
      <w:r w:rsidRPr="00A11AE6">
        <w:rPr>
          <w:rFonts w:cs="Arial"/>
          <w:sz w:val="23"/>
          <w:szCs w:val="23"/>
        </w:rPr>
        <w:t xml:space="preserve">A United States passport (unexpired) </w:t>
      </w:r>
    </w:p>
    <w:p w:rsidR="004B1881" w:rsidRPr="00A11AE6" w:rsidRDefault="004B1881" w:rsidP="004B1881">
      <w:pPr>
        <w:numPr>
          <w:ilvl w:val="0"/>
          <w:numId w:val="2"/>
        </w:numPr>
        <w:tabs>
          <w:tab w:val="clear" w:pos="702"/>
          <w:tab w:val="num" w:pos="342"/>
        </w:tabs>
        <w:spacing w:line="240" w:lineRule="auto"/>
        <w:ind w:left="342"/>
        <w:rPr>
          <w:rFonts w:cs="Arial"/>
          <w:sz w:val="23"/>
          <w:szCs w:val="23"/>
        </w:rPr>
      </w:pPr>
      <w:r w:rsidRPr="00A11AE6">
        <w:rPr>
          <w:rFonts w:cs="Arial"/>
          <w:sz w:val="23"/>
          <w:szCs w:val="23"/>
        </w:rPr>
        <w:t>A report of birth abroad of a US Citizen (FS-240) issued by the State Department</w:t>
      </w:r>
    </w:p>
    <w:p w:rsidR="004B1881" w:rsidRPr="00A11AE6" w:rsidRDefault="004B1881" w:rsidP="004B1881">
      <w:pPr>
        <w:numPr>
          <w:ilvl w:val="0"/>
          <w:numId w:val="2"/>
        </w:numPr>
        <w:tabs>
          <w:tab w:val="clear" w:pos="702"/>
          <w:tab w:val="num" w:pos="342"/>
        </w:tabs>
        <w:spacing w:line="240" w:lineRule="auto"/>
        <w:ind w:left="342"/>
        <w:rPr>
          <w:rFonts w:cs="Arial"/>
          <w:sz w:val="23"/>
          <w:szCs w:val="23"/>
        </w:rPr>
      </w:pPr>
      <w:r w:rsidRPr="00A11AE6">
        <w:rPr>
          <w:rFonts w:cs="Arial"/>
          <w:sz w:val="23"/>
          <w:szCs w:val="23"/>
        </w:rPr>
        <w:t>A certificate of birth-foreign service (FS-545) issued by the State Department</w:t>
      </w:r>
    </w:p>
    <w:p w:rsidR="004B1881" w:rsidRPr="00A11AE6" w:rsidRDefault="004B1881" w:rsidP="004B1881">
      <w:pPr>
        <w:numPr>
          <w:ilvl w:val="0"/>
          <w:numId w:val="2"/>
        </w:numPr>
        <w:tabs>
          <w:tab w:val="clear" w:pos="702"/>
          <w:tab w:val="num" w:pos="342"/>
        </w:tabs>
        <w:spacing w:line="240" w:lineRule="auto"/>
        <w:ind w:left="342"/>
        <w:rPr>
          <w:rFonts w:cs="Arial"/>
          <w:sz w:val="23"/>
          <w:szCs w:val="23"/>
        </w:rPr>
      </w:pPr>
      <w:r w:rsidRPr="00A11AE6">
        <w:rPr>
          <w:rFonts w:cs="Arial"/>
          <w:sz w:val="23"/>
          <w:szCs w:val="23"/>
        </w:rPr>
        <w:t>A certificate of naturalization (Form N-550 or N-570) issued by the INS, plus Photo ID</w:t>
      </w:r>
    </w:p>
    <w:p w:rsidR="004B1881" w:rsidRPr="00A11AE6" w:rsidRDefault="004B1881" w:rsidP="004B1881">
      <w:pPr>
        <w:numPr>
          <w:ilvl w:val="0"/>
          <w:numId w:val="2"/>
        </w:numPr>
        <w:tabs>
          <w:tab w:val="clear" w:pos="702"/>
          <w:tab w:val="num" w:pos="342"/>
        </w:tabs>
        <w:spacing w:line="240" w:lineRule="auto"/>
        <w:ind w:left="342"/>
        <w:rPr>
          <w:rFonts w:cs="Arial"/>
          <w:sz w:val="23"/>
          <w:szCs w:val="23"/>
        </w:rPr>
      </w:pPr>
      <w:r w:rsidRPr="00A11AE6">
        <w:rPr>
          <w:rFonts w:cs="Arial"/>
          <w:sz w:val="23"/>
          <w:szCs w:val="23"/>
        </w:rPr>
        <w:t>A certificate of citizenship (Form N-560 or N-561) issued by the INS, plus photo ID</w:t>
      </w:r>
    </w:p>
    <w:p w:rsidR="004B1881" w:rsidRPr="00A11AE6" w:rsidRDefault="004B1881" w:rsidP="004B1881">
      <w:pPr>
        <w:pStyle w:val="Heading2"/>
        <w:ind w:left="0"/>
        <w:rPr>
          <w:rFonts w:asciiTheme="minorHAnsi" w:hAnsiTheme="minorHAnsi" w:cs="Arial"/>
          <w:b/>
          <w:sz w:val="23"/>
          <w:szCs w:val="23"/>
        </w:rPr>
      </w:pPr>
      <w:r w:rsidRPr="00A11AE6">
        <w:rPr>
          <w:rFonts w:asciiTheme="minorHAnsi" w:hAnsiTheme="minorHAnsi" w:cs="Arial"/>
          <w:b/>
          <w:sz w:val="23"/>
          <w:szCs w:val="23"/>
        </w:rPr>
        <w:t>-OR-</w:t>
      </w:r>
    </w:p>
    <w:p w:rsidR="004B1881" w:rsidRPr="00A11AE6" w:rsidRDefault="004B1881" w:rsidP="004B1881">
      <w:pPr>
        <w:rPr>
          <w:rFonts w:cs="Arial"/>
          <w:sz w:val="23"/>
          <w:szCs w:val="23"/>
        </w:rPr>
      </w:pPr>
      <w:proofErr w:type="gramStart"/>
      <w:r w:rsidRPr="00A11AE6">
        <w:rPr>
          <w:rFonts w:cs="Arial"/>
          <w:sz w:val="23"/>
          <w:szCs w:val="23"/>
        </w:rPr>
        <w:t>Primary documentation of status as a lawful permanent resident of the US.</w:t>
      </w:r>
      <w:proofErr w:type="gramEnd"/>
      <w:r w:rsidRPr="00A11AE6">
        <w:rPr>
          <w:rFonts w:cs="Arial"/>
          <w:sz w:val="23"/>
          <w:szCs w:val="23"/>
        </w:rPr>
        <w:t xml:space="preserve">  </w:t>
      </w:r>
      <w:r w:rsidRPr="00A11AE6">
        <w:rPr>
          <w:rFonts w:cs="Arial"/>
          <w:i/>
          <w:sz w:val="23"/>
          <w:szCs w:val="23"/>
        </w:rPr>
        <w:t>One of the following forms of documentation is acceptable.  Check the item on file:</w:t>
      </w:r>
    </w:p>
    <w:p w:rsidR="004B1881" w:rsidRPr="00A11AE6" w:rsidRDefault="004B1881" w:rsidP="004B1881">
      <w:pPr>
        <w:numPr>
          <w:ilvl w:val="0"/>
          <w:numId w:val="1"/>
        </w:numPr>
        <w:tabs>
          <w:tab w:val="clear" w:pos="702"/>
          <w:tab w:val="num" w:pos="342"/>
        </w:tabs>
        <w:spacing w:line="240" w:lineRule="auto"/>
        <w:ind w:left="342"/>
        <w:rPr>
          <w:rFonts w:cs="Arial"/>
          <w:sz w:val="23"/>
          <w:szCs w:val="23"/>
        </w:rPr>
      </w:pPr>
      <w:r w:rsidRPr="00A11AE6">
        <w:rPr>
          <w:rFonts w:cs="Arial"/>
          <w:sz w:val="23"/>
          <w:szCs w:val="23"/>
        </w:rPr>
        <w:t>Permanent resident card, INS form I-551</w:t>
      </w:r>
    </w:p>
    <w:p w:rsidR="004B1881" w:rsidRPr="00A11AE6" w:rsidRDefault="004B1881" w:rsidP="004B1881">
      <w:pPr>
        <w:numPr>
          <w:ilvl w:val="0"/>
          <w:numId w:val="1"/>
        </w:numPr>
        <w:tabs>
          <w:tab w:val="clear" w:pos="702"/>
          <w:tab w:val="num" w:pos="342"/>
        </w:tabs>
        <w:spacing w:line="240" w:lineRule="auto"/>
        <w:ind w:left="342"/>
        <w:rPr>
          <w:rFonts w:cs="Arial"/>
          <w:sz w:val="23"/>
          <w:szCs w:val="23"/>
        </w:rPr>
      </w:pPr>
      <w:r w:rsidRPr="00A11AE6">
        <w:rPr>
          <w:rFonts w:cs="Arial"/>
          <w:sz w:val="23"/>
          <w:szCs w:val="23"/>
        </w:rPr>
        <w:t xml:space="preserve">Alien Registration Receipt Card, INS form I-551 </w:t>
      </w:r>
    </w:p>
    <w:p w:rsidR="004B1881" w:rsidRPr="00A11AE6" w:rsidRDefault="004B1881" w:rsidP="004B1881">
      <w:pPr>
        <w:numPr>
          <w:ilvl w:val="0"/>
          <w:numId w:val="1"/>
        </w:numPr>
        <w:tabs>
          <w:tab w:val="clear" w:pos="702"/>
          <w:tab w:val="num" w:pos="342"/>
        </w:tabs>
        <w:spacing w:line="240" w:lineRule="auto"/>
        <w:ind w:left="342"/>
        <w:rPr>
          <w:rFonts w:cs="Arial"/>
          <w:sz w:val="23"/>
          <w:szCs w:val="23"/>
        </w:rPr>
      </w:pPr>
      <w:r w:rsidRPr="00A11AE6">
        <w:rPr>
          <w:rFonts w:cs="Arial"/>
          <w:sz w:val="23"/>
          <w:szCs w:val="23"/>
        </w:rPr>
        <w:t>A passport indicating that the INS has approved it as temporary evidence of lawful admission for permanent residence.  Note: Foreign passport with temporary I-551 stamp okay but follow-up check for actual I-551 when received (check expiration date on stamp)</w:t>
      </w:r>
    </w:p>
    <w:p w:rsidR="004B1881" w:rsidRPr="00A11AE6" w:rsidRDefault="004B1881" w:rsidP="004B1881">
      <w:pPr>
        <w:numPr>
          <w:ilvl w:val="0"/>
          <w:numId w:val="1"/>
        </w:numPr>
        <w:tabs>
          <w:tab w:val="clear" w:pos="702"/>
          <w:tab w:val="num" w:pos="342"/>
        </w:tabs>
        <w:spacing w:line="240" w:lineRule="auto"/>
        <w:ind w:left="342"/>
        <w:rPr>
          <w:rFonts w:cs="Arial"/>
          <w:sz w:val="23"/>
          <w:szCs w:val="23"/>
        </w:rPr>
      </w:pPr>
      <w:r w:rsidRPr="00A11AE6">
        <w:rPr>
          <w:rFonts w:cs="Arial"/>
          <w:sz w:val="23"/>
          <w:szCs w:val="23"/>
        </w:rPr>
        <w:t>A departure record (INS Form I-94) indicating that the INS has approved it as temporary evidence of lawful admission for permanent residence.</w:t>
      </w:r>
    </w:p>
    <w:p w:rsidR="004B1881" w:rsidRPr="00A11AE6" w:rsidRDefault="004B1881" w:rsidP="004B1881">
      <w:pPr>
        <w:numPr>
          <w:ilvl w:val="0"/>
          <w:numId w:val="1"/>
        </w:numPr>
        <w:tabs>
          <w:tab w:val="clear" w:pos="702"/>
          <w:tab w:val="num" w:pos="342"/>
        </w:tabs>
        <w:spacing w:line="240" w:lineRule="auto"/>
        <w:ind w:left="342"/>
        <w:rPr>
          <w:rFonts w:cs="Arial"/>
          <w:sz w:val="23"/>
          <w:szCs w:val="23"/>
        </w:rPr>
      </w:pPr>
      <w:r w:rsidRPr="00A11AE6">
        <w:rPr>
          <w:rFonts w:cs="Arial"/>
          <w:sz w:val="23"/>
          <w:szCs w:val="23"/>
        </w:rPr>
        <w:t>Application for Replacement Alien Registration Receipt Card I-90. Check that application is for alien registration receipt card and not some other temporary or conditional status  -  follow-up check necessary for actual I-551 when received</w:t>
      </w:r>
    </w:p>
    <w:p w:rsidR="004B1881" w:rsidRDefault="004B1881" w:rsidP="001442E0">
      <w:pPr>
        <w:pStyle w:val="Default"/>
        <w:rPr>
          <w:rFonts w:asciiTheme="minorHAnsi" w:hAnsiTheme="minorHAnsi"/>
          <w:color w:val="auto"/>
          <w:sz w:val="23"/>
          <w:szCs w:val="23"/>
        </w:rPr>
      </w:pPr>
    </w:p>
    <w:p w:rsidR="004B1881" w:rsidRDefault="004B1881" w:rsidP="001442E0">
      <w:pPr>
        <w:pStyle w:val="Default"/>
        <w:rPr>
          <w:rFonts w:asciiTheme="minorHAnsi" w:hAnsiTheme="minorHAnsi"/>
          <w:color w:val="auto"/>
          <w:sz w:val="23"/>
          <w:szCs w:val="23"/>
        </w:rPr>
      </w:pPr>
    </w:p>
    <w:p w:rsidR="004B1881" w:rsidRDefault="004B1881" w:rsidP="001442E0">
      <w:pPr>
        <w:pStyle w:val="Default"/>
        <w:rPr>
          <w:rFonts w:asciiTheme="minorHAnsi" w:hAnsiTheme="minorHAnsi"/>
          <w:color w:val="auto"/>
          <w:sz w:val="23"/>
          <w:szCs w:val="23"/>
        </w:rPr>
      </w:pPr>
    </w:p>
    <w:p w:rsidR="004B1881" w:rsidRDefault="004B1881" w:rsidP="001442E0">
      <w:pPr>
        <w:pStyle w:val="Default"/>
        <w:rPr>
          <w:rFonts w:asciiTheme="minorHAnsi" w:hAnsiTheme="minorHAnsi"/>
          <w:color w:val="auto"/>
          <w:sz w:val="23"/>
          <w:szCs w:val="23"/>
        </w:rPr>
      </w:pPr>
    </w:p>
    <w:p w:rsidR="004B1881" w:rsidRPr="00A11AE6" w:rsidRDefault="004B1881" w:rsidP="001442E0">
      <w:pPr>
        <w:pStyle w:val="Default"/>
        <w:rPr>
          <w:rFonts w:asciiTheme="minorHAnsi" w:hAnsiTheme="minorHAnsi"/>
          <w:color w:val="auto"/>
          <w:sz w:val="23"/>
          <w:szCs w:val="23"/>
        </w:rPr>
      </w:pPr>
    </w:p>
    <w:p w:rsidR="001442E0" w:rsidRPr="00A11AE6" w:rsidRDefault="001442E0" w:rsidP="00A11AE6">
      <w:pPr>
        <w:jc w:val="center"/>
        <w:rPr>
          <w:b/>
          <w:u w:val="single"/>
        </w:rPr>
      </w:pPr>
      <w:bookmarkStart w:id="0" w:name="_GoBack"/>
      <w:bookmarkEnd w:id="0"/>
    </w:p>
    <w:sectPr w:rsidR="001442E0" w:rsidRPr="00A11AE6" w:rsidSect="009C575B">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A7B"/>
    <w:multiLevelType w:val="hybridMultilevel"/>
    <w:tmpl w:val="2EA62108"/>
    <w:lvl w:ilvl="0" w:tplc="94F89D06">
      <w:start w:val="1"/>
      <w:numFmt w:val="bullet"/>
      <w:lvlText w:val=""/>
      <w:lvlJc w:val="left"/>
      <w:pPr>
        <w:tabs>
          <w:tab w:val="num" w:pos="702"/>
        </w:tabs>
        <w:ind w:left="702" w:hanging="360"/>
      </w:pPr>
      <w:rPr>
        <w:rFonts w:ascii="Wingdings" w:hAnsi="Wingdings" w:hint="default"/>
        <w:b/>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nsid w:val="61A8326F"/>
    <w:multiLevelType w:val="hybridMultilevel"/>
    <w:tmpl w:val="9D184510"/>
    <w:lvl w:ilvl="0" w:tplc="E00498B6">
      <w:start w:val="1"/>
      <w:numFmt w:val="bullet"/>
      <w:lvlText w:val=""/>
      <w:lvlJc w:val="left"/>
      <w:pPr>
        <w:tabs>
          <w:tab w:val="num" w:pos="702"/>
        </w:tabs>
        <w:ind w:left="702" w:hanging="360"/>
      </w:pPr>
      <w:rPr>
        <w:rFonts w:ascii="Wingdings" w:hAnsi="Wingdings" w:hint="default"/>
        <w:b/>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nsid w:val="792716CF"/>
    <w:multiLevelType w:val="hybridMultilevel"/>
    <w:tmpl w:val="995A9196"/>
    <w:lvl w:ilvl="0" w:tplc="04BC1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E0"/>
    <w:rsid w:val="001442E0"/>
    <w:rsid w:val="00296B23"/>
    <w:rsid w:val="004B1881"/>
    <w:rsid w:val="00A11AE6"/>
    <w:rsid w:val="00B81433"/>
    <w:rsid w:val="00E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A11AE6"/>
    <w:pPr>
      <w:keepNext/>
      <w:spacing w:line="240" w:lineRule="auto"/>
      <w:ind w:left="2160"/>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E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1AE6"/>
    <w:rPr>
      <w:color w:val="0000FF" w:themeColor="hyperlink"/>
      <w:u w:val="single"/>
    </w:rPr>
  </w:style>
  <w:style w:type="character" w:customStyle="1" w:styleId="Heading2Char">
    <w:name w:val="Heading 2 Char"/>
    <w:basedOn w:val="DefaultParagraphFont"/>
    <w:link w:val="Heading2"/>
    <w:uiPriority w:val="9"/>
    <w:rsid w:val="00A11AE6"/>
    <w:rPr>
      <w:rFonts w:ascii="Times New Roman" w:eastAsia="Times New Roman" w:hAnsi="Times New Roman" w:cs="Times New Roman"/>
      <w:sz w:val="24"/>
      <w:szCs w:val="20"/>
    </w:rPr>
  </w:style>
  <w:style w:type="paragraph" w:styleId="ListParagraph">
    <w:name w:val="List Paragraph"/>
    <w:basedOn w:val="Normal"/>
    <w:uiPriority w:val="34"/>
    <w:qFormat/>
    <w:rsid w:val="004B1881"/>
    <w:pPr>
      <w:ind w:left="720"/>
      <w:contextualSpacing/>
    </w:pPr>
  </w:style>
  <w:style w:type="paragraph" w:styleId="BalloonText">
    <w:name w:val="Balloon Text"/>
    <w:basedOn w:val="Normal"/>
    <w:link w:val="BalloonTextChar"/>
    <w:uiPriority w:val="99"/>
    <w:semiHidden/>
    <w:unhideWhenUsed/>
    <w:rsid w:val="00B814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A11AE6"/>
    <w:pPr>
      <w:keepNext/>
      <w:spacing w:line="240" w:lineRule="auto"/>
      <w:ind w:left="2160"/>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2E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1AE6"/>
    <w:rPr>
      <w:color w:val="0000FF" w:themeColor="hyperlink"/>
      <w:u w:val="single"/>
    </w:rPr>
  </w:style>
  <w:style w:type="character" w:customStyle="1" w:styleId="Heading2Char">
    <w:name w:val="Heading 2 Char"/>
    <w:basedOn w:val="DefaultParagraphFont"/>
    <w:link w:val="Heading2"/>
    <w:uiPriority w:val="9"/>
    <w:rsid w:val="00A11AE6"/>
    <w:rPr>
      <w:rFonts w:ascii="Times New Roman" w:eastAsia="Times New Roman" w:hAnsi="Times New Roman" w:cs="Times New Roman"/>
      <w:sz w:val="24"/>
      <w:szCs w:val="20"/>
    </w:rPr>
  </w:style>
  <w:style w:type="paragraph" w:styleId="ListParagraph">
    <w:name w:val="List Paragraph"/>
    <w:basedOn w:val="Normal"/>
    <w:uiPriority w:val="34"/>
    <w:qFormat/>
    <w:rsid w:val="004B1881"/>
    <w:pPr>
      <w:ind w:left="720"/>
      <w:contextualSpacing/>
    </w:pPr>
  </w:style>
  <w:style w:type="paragraph" w:styleId="BalloonText">
    <w:name w:val="Balloon Text"/>
    <w:basedOn w:val="Normal"/>
    <w:link w:val="BalloonTextChar"/>
    <w:uiPriority w:val="99"/>
    <w:semiHidden/>
    <w:unhideWhenUsed/>
    <w:rsid w:val="00B814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Beach</dc:creator>
  <cp:lastModifiedBy>Karin Beach</cp:lastModifiedBy>
  <cp:revision>2</cp:revision>
  <cp:lastPrinted>2014-09-10T16:53:00Z</cp:lastPrinted>
  <dcterms:created xsi:type="dcterms:W3CDTF">2014-09-10T16:55:00Z</dcterms:created>
  <dcterms:modified xsi:type="dcterms:W3CDTF">2014-09-10T16:55:00Z</dcterms:modified>
</cp:coreProperties>
</file>